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CB5B" w14:textId="75195C09" w:rsidR="009D484C" w:rsidRPr="00407CDE" w:rsidRDefault="009D484C" w:rsidP="00407CDE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407CDE">
        <w:rPr>
          <w:b/>
          <w:sz w:val="24"/>
          <w:szCs w:val="24"/>
        </w:rPr>
        <w:t xml:space="preserve">Приложение № 2 </w:t>
      </w:r>
      <w:r w:rsidRPr="00407CDE">
        <w:rPr>
          <w:rFonts w:eastAsiaTheme="minorHAnsi"/>
          <w:sz w:val="24"/>
          <w:szCs w:val="24"/>
          <w:lang w:eastAsia="en-US"/>
        </w:rPr>
        <w:t xml:space="preserve">к Программе фонда «Центр поддержки </w:t>
      </w:r>
    </w:p>
    <w:p w14:paraId="11BC15FD" w14:textId="77777777" w:rsidR="009D484C" w:rsidRPr="00407CDE" w:rsidRDefault="009D484C" w:rsidP="00407CDE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407CDE">
        <w:rPr>
          <w:rFonts w:eastAsiaTheme="minorHAnsi"/>
          <w:sz w:val="24"/>
          <w:szCs w:val="24"/>
          <w:lang w:eastAsia="en-US"/>
        </w:rPr>
        <w:t xml:space="preserve">предпринимательства Калининградской области» «Финансирование </w:t>
      </w:r>
    </w:p>
    <w:p w14:paraId="77A439AA" w14:textId="77777777" w:rsidR="009D484C" w:rsidRPr="00407CDE" w:rsidRDefault="009D484C" w:rsidP="00407CDE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407CDE">
        <w:rPr>
          <w:rFonts w:eastAsiaTheme="minorHAnsi"/>
          <w:sz w:val="24"/>
          <w:szCs w:val="24"/>
          <w:lang w:eastAsia="en-US"/>
        </w:rPr>
        <w:t xml:space="preserve">проектов по вовлечению объектов культурного наследия </w:t>
      </w:r>
    </w:p>
    <w:p w14:paraId="724515C8" w14:textId="77777777" w:rsidR="009D484C" w:rsidRPr="00407CDE" w:rsidRDefault="009D484C" w:rsidP="00407CDE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407CDE">
        <w:rPr>
          <w:rFonts w:eastAsiaTheme="minorHAnsi"/>
          <w:sz w:val="24"/>
          <w:szCs w:val="24"/>
          <w:lang w:eastAsia="en-US"/>
        </w:rPr>
        <w:t>в хозяйственный оборот Калининградской области»</w:t>
      </w:r>
    </w:p>
    <w:p w14:paraId="36051EC0" w14:textId="580DCB39" w:rsidR="00FA3F46" w:rsidRPr="00407CDE" w:rsidRDefault="00FA3F46" w:rsidP="00407CDE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</w:p>
    <w:p w14:paraId="7D797B78" w14:textId="77777777" w:rsidR="00690E2B" w:rsidRPr="00407CDE" w:rsidRDefault="00690E2B" w:rsidP="00407CDE"/>
    <w:p w14:paraId="4F37F5B4" w14:textId="550C7059" w:rsidR="00754720" w:rsidRPr="00407CDE" w:rsidRDefault="00754720" w:rsidP="00407CDE">
      <w:pPr>
        <w:jc w:val="center"/>
        <w:outlineLvl w:val="0"/>
        <w:rPr>
          <w:b/>
          <w:color w:val="FF0000"/>
          <w:sz w:val="24"/>
          <w:szCs w:val="24"/>
        </w:rPr>
      </w:pPr>
      <w:r w:rsidRPr="00407CDE">
        <w:rPr>
          <w:b/>
          <w:sz w:val="24"/>
          <w:szCs w:val="24"/>
        </w:rPr>
        <w:t xml:space="preserve">Перечень </w:t>
      </w:r>
      <w:r w:rsidR="00B07C73" w:rsidRPr="00407CDE">
        <w:rPr>
          <w:b/>
          <w:sz w:val="24"/>
          <w:szCs w:val="24"/>
        </w:rPr>
        <w:t xml:space="preserve">предоставляемых Заявителем </w:t>
      </w:r>
      <w:r w:rsidRPr="00407CDE">
        <w:rPr>
          <w:b/>
          <w:sz w:val="24"/>
          <w:szCs w:val="24"/>
        </w:rPr>
        <w:t>документов</w:t>
      </w:r>
      <w:r w:rsidR="00B07C73" w:rsidRPr="00407CDE">
        <w:rPr>
          <w:b/>
          <w:sz w:val="24"/>
          <w:szCs w:val="24"/>
        </w:rPr>
        <w:t xml:space="preserve"> </w:t>
      </w:r>
    </w:p>
    <w:p w14:paraId="30D9E251" w14:textId="77777777" w:rsidR="00754720" w:rsidRPr="00407CDE" w:rsidRDefault="00754720" w:rsidP="00407CDE">
      <w:pPr>
        <w:jc w:val="center"/>
        <w:outlineLvl w:val="0"/>
        <w:rPr>
          <w:b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2835"/>
      </w:tblGrid>
      <w:tr w:rsidR="00754720" w:rsidRPr="00407CDE" w14:paraId="7513E609" w14:textId="77777777" w:rsidTr="00E8001B">
        <w:tc>
          <w:tcPr>
            <w:tcW w:w="675" w:type="dxa"/>
            <w:shd w:val="clear" w:color="auto" w:fill="auto"/>
            <w:vAlign w:val="center"/>
          </w:tcPr>
          <w:p w14:paraId="7D4681A4" w14:textId="77777777" w:rsidR="00754720" w:rsidRPr="00407CDE" w:rsidRDefault="00754720" w:rsidP="00407CDE">
            <w:pPr>
              <w:jc w:val="center"/>
              <w:rPr>
                <w:b/>
                <w:sz w:val="22"/>
                <w:szCs w:val="22"/>
              </w:rPr>
            </w:pPr>
            <w:r w:rsidRPr="00407CD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4E85EE0" w14:textId="77777777" w:rsidR="00754720" w:rsidRPr="00407CDE" w:rsidRDefault="00754720" w:rsidP="00407CDE">
            <w:pPr>
              <w:rPr>
                <w:b/>
                <w:sz w:val="22"/>
                <w:szCs w:val="22"/>
              </w:rPr>
            </w:pPr>
            <w:r w:rsidRPr="00407CDE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8C793D" w14:textId="33338DEE" w:rsidR="00754720" w:rsidRPr="00407CDE" w:rsidRDefault="00754720" w:rsidP="00407CDE">
            <w:pPr>
              <w:rPr>
                <w:b/>
                <w:sz w:val="22"/>
                <w:szCs w:val="22"/>
              </w:rPr>
            </w:pPr>
            <w:r w:rsidRPr="00407CDE">
              <w:rPr>
                <w:b/>
                <w:sz w:val="22"/>
                <w:szCs w:val="22"/>
              </w:rPr>
              <w:t>Комментарий</w:t>
            </w:r>
          </w:p>
        </w:tc>
      </w:tr>
      <w:tr w:rsidR="00754720" w:rsidRPr="00407CDE" w14:paraId="0FF790C1" w14:textId="77777777" w:rsidTr="00E8001B">
        <w:trPr>
          <w:trHeight w:val="139"/>
        </w:trPr>
        <w:tc>
          <w:tcPr>
            <w:tcW w:w="675" w:type="dxa"/>
            <w:shd w:val="clear" w:color="auto" w:fill="auto"/>
            <w:vAlign w:val="center"/>
          </w:tcPr>
          <w:p w14:paraId="176CCF0C" w14:textId="77777777" w:rsidR="00754720" w:rsidRPr="00407CDE" w:rsidRDefault="00754720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44FC8DD" w14:textId="51E7ED39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Заявка на предоставление займа</w:t>
            </w:r>
            <w:r w:rsidR="00640290" w:rsidRPr="00407CDE">
              <w:rPr>
                <w:sz w:val="22"/>
                <w:szCs w:val="22"/>
              </w:rPr>
              <w:t xml:space="preserve"> (Приложения №1 к Стандарту)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D9A764" w14:textId="77777777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Оригинал</w:t>
            </w:r>
          </w:p>
        </w:tc>
      </w:tr>
      <w:tr w:rsidR="00754720" w:rsidRPr="00407CDE" w14:paraId="361FDE4A" w14:textId="77777777" w:rsidTr="00E8001B">
        <w:tc>
          <w:tcPr>
            <w:tcW w:w="675" w:type="dxa"/>
            <w:shd w:val="clear" w:color="auto" w:fill="auto"/>
            <w:vAlign w:val="center"/>
          </w:tcPr>
          <w:p w14:paraId="71AA7A5A" w14:textId="26C49566" w:rsidR="00754720" w:rsidRPr="00407CDE" w:rsidRDefault="00022EA9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424B593" w14:textId="77777777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заявителя, подписанный руководителем субъекта предпринимательской деятельности (в случае необходимости)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568B03" w14:textId="77777777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Оригинал</w:t>
            </w:r>
          </w:p>
        </w:tc>
      </w:tr>
      <w:tr w:rsidR="00754720" w:rsidRPr="00407CDE" w14:paraId="244FB7F5" w14:textId="77777777" w:rsidTr="00E8001B">
        <w:trPr>
          <w:trHeight w:val="313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7F9F7B72" w14:textId="77777777" w:rsidR="00754720" w:rsidRPr="00407CDE" w:rsidRDefault="00754720" w:rsidP="00407CDE">
            <w:pPr>
              <w:jc w:val="center"/>
              <w:rPr>
                <w:b/>
                <w:bCs/>
                <w:sz w:val="22"/>
                <w:szCs w:val="22"/>
              </w:rPr>
            </w:pPr>
            <w:r w:rsidRPr="00407CDE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юридического лица</w:t>
            </w:r>
          </w:p>
        </w:tc>
      </w:tr>
      <w:tr w:rsidR="00754720" w:rsidRPr="00407CDE" w14:paraId="36B9D8BC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2150E914" w14:textId="514C3257" w:rsidR="00754720" w:rsidRPr="00407CDE" w:rsidRDefault="002108A3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80A6B26" w14:textId="5BD8BCA0" w:rsidR="00754720" w:rsidRPr="00407CDE" w:rsidRDefault="00754720" w:rsidP="00407CDE">
            <w:pPr>
              <w:spacing w:before="60" w:after="60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Устав в действующей редакции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BD6434" w14:textId="24C93432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754720" w:rsidRPr="00407CDE" w14:paraId="4E455E3D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12BC86D5" w14:textId="733418C2" w:rsidR="00754720" w:rsidRPr="00407CDE" w:rsidRDefault="002108A3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8D5E63" w14:textId="77777777" w:rsidR="00754720" w:rsidRPr="00407CDE" w:rsidRDefault="00754720" w:rsidP="00407CDE">
            <w:pPr>
              <w:spacing w:before="60" w:after="60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6AE0F7" w14:textId="55E4357C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754720" w:rsidRPr="00407CDE" w14:paraId="5B1C6DFB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563D2366" w14:textId="30A6AC8F" w:rsidR="00754720" w:rsidRPr="00407CDE" w:rsidRDefault="002108A3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283E6B6" w14:textId="77777777" w:rsidR="00754720" w:rsidRPr="00407CDE" w:rsidRDefault="00754720" w:rsidP="00407CDE">
            <w:pPr>
              <w:spacing w:before="60" w:after="60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3681C0" w14:textId="2EE4AF4A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754720" w:rsidRPr="00407CDE" w14:paraId="6719C824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6CB40EBF" w14:textId="0536BAF3" w:rsidR="00754720" w:rsidRPr="00407CDE" w:rsidRDefault="002108A3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2A6AA0D" w14:textId="77777777" w:rsidR="00754720" w:rsidRPr="00407CDE" w:rsidRDefault="00754720" w:rsidP="00407CDE">
            <w:pPr>
              <w:spacing w:before="60" w:after="60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D68784" w14:textId="16256A2D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754720" w:rsidRPr="00407CDE" w14:paraId="1B031F1D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631FEA36" w14:textId="1FAEBD51" w:rsidR="00754720" w:rsidRPr="00407CDE" w:rsidRDefault="002108A3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69115A" w14:textId="77777777" w:rsidR="00754720" w:rsidRPr="00407CDE" w:rsidRDefault="00754720" w:rsidP="00407CDE">
            <w:pPr>
              <w:spacing w:before="60" w:after="60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Приказ о назначении единоличного исполнительного органа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CB8D94" w14:textId="3466EDFB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754720" w:rsidRPr="00407CDE" w14:paraId="53025C4D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61CD65CA" w14:textId="0DA19961" w:rsidR="00754720" w:rsidRPr="00407CDE" w:rsidRDefault="002108A3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C6D073" w14:textId="77777777" w:rsidR="00754720" w:rsidRPr="00407CDE" w:rsidRDefault="00754720" w:rsidP="00407CDE">
            <w:pPr>
              <w:spacing w:before="60" w:after="60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Трудовой договор с единоличным исполнительным органом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378BFE" w14:textId="6BC48169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754720" w:rsidRPr="00407CDE" w14:paraId="5A46EE46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1C9BC553" w14:textId="0B85E69F" w:rsidR="00754720" w:rsidRPr="00407CDE" w:rsidRDefault="002108A3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EEDC258" w14:textId="0EE3A924" w:rsidR="00754720" w:rsidRPr="00407CDE" w:rsidRDefault="00754720" w:rsidP="00407CDE">
            <w:pPr>
              <w:spacing w:before="60" w:after="60"/>
              <w:rPr>
                <w:color w:val="FF0000"/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Паспорт единоличного исполнительного органа и учредителей</w:t>
            </w:r>
            <w:r w:rsidR="00DB47A5" w:rsidRPr="00407CDE">
              <w:rPr>
                <w:sz w:val="22"/>
                <w:szCs w:val="22"/>
              </w:rPr>
              <w:t xml:space="preserve"> (участников)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455E7F" w14:textId="6CA58111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754720" w:rsidRPr="00407CDE" w14:paraId="734C97F9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6E2FDFD9" w14:textId="2AED2712" w:rsidR="00754720" w:rsidRPr="00407CDE" w:rsidRDefault="002108A3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DAB81AA" w14:textId="77777777" w:rsidR="00754720" w:rsidRPr="00407CDE" w:rsidRDefault="00754720" w:rsidP="00407CDE">
            <w:pPr>
              <w:spacing w:before="60" w:after="60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Выписка из реестра акционеров, заверенная руководителем либо реестродержателем (для акционерных обществ), выданную не ранее 30 дней до для подачи заявки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9A3E15" w14:textId="77777777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Оригинал</w:t>
            </w:r>
          </w:p>
        </w:tc>
      </w:tr>
      <w:tr w:rsidR="00754720" w:rsidRPr="00407CDE" w14:paraId="108F641C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5C6F1E78" w14:textId="6700B80D" w:rsidR="00754720" w:rsidRPr="00407CDE" w:rsidRDefault="002108A3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DF0DAE7" w14:textId="77777777" w:rsidR="00754720" w:rsidRPr="00407CDE" w:rsidRDefault="00754720" w:rsidP="00407CDE">
            <w:pPr>
              <w:spacing w:before="60" w:after="60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Документы об одобрении сделки займа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0AACAF" w14:textId="6EA81EA0" w:rsidR="00754720" w:rsidRPr="00407CDE" w:rsidRDefault="00E8001B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 xml:space="preserve">Предоставляются </w:t>
            </w:r>
            <w:r w:rsidR="00754720" w:rsidRPr="00407CDE">
              <w:rPr>
                <w:sz w:val="22"/>
                <w:szCs w:val="22"/>
              </w:rPr>
              <w:t>заверенные копии документов перед подписанием договора займа</w:t>
            </w:r>
          </w:p>
        </w:tc>
      </w:tr>
      <w:tr w:rsidR="00754720" w:rsidRPr="00407CDE" w14:paraId="0355C6F6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680031EE" w14:textId="21A1B4C0" w:rsidR="00754720" w:rsidRPr="00407CDE" w:rsidRDefault="002108A3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A88544B" w14:textId="77777777" w:rsidR="00754720" w:rsidRPr="00407CDE" w:rsidRDefault="00754720" w:rsidP="00407CDE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Лицензия на право осуществления лицензируемого вида деятельности (при наличии)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16C37A" w14:textId="77777777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754720" w:rsidRPr="00407CDE" w14:paraId="03965053" w14:textId="77777777" w:rsidTr="00E8001B">
        <w:trPr>
          <w:trHeight w:val="313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0CBE8238" w14:textId="77777777" w:rsidR="00754720" w:rsidRPr="00407CDE" w:rsidRDefault="00754720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индивидуального предпринимателя</w:t>
            </w:r>
          </w:p>
        </w:tc>
      </w:tr>
      <w:tr w:rsidR="00754720" w:rsidRPr="00407CDE" w14:paraId="57A7C5C3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3894398C" w14:textId="539FDE0D" w:rsidR="00754720" w:rsidRPr="00407CDE" w:rsidRDefault="002108A3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9708EF2" w14:textId="77777777" w:rsidR="00754720" w:rsidRPr="00407CDE" w:rsidRDefault="00754720" w:rsidP="00407CDE">
            <w:pPr>
              <w:spacing w:before="60" w:after="60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Свидетельство о государственной регистрации Заявителя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28A0A5" w14:textId="7B5C841F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754720" w:rsidRPr="00407CDE" w14:paraId="7D5D7589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5A5AB24A" w14:textId="37166A52" w:rsidR="00754720" w:rsidRPr="00407CDE" w:rsidRDefault="002108A3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476A2AA" w14:textId="77777777" w:rsidR="00754720" w:rsidRPr="00407CDE" w:rsidRDefault="00754720" w:rsidP="00407CDE">
            <w:pPr>
              <w:spacing w:before="60" w:after="60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4B2F2C" w14:textId="27458A68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754720" w:rsidRPr="00407CDE" w14:paraId="27A23C00" w14:textId="77777777" w:rsidTr="00E8001B">
        <w:trPr>
          <w:trHeight w:val="313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0572FEB6" w14:textId="7337CF9E" w:rsidR="00754720" w:rsidRPr="00407CDE" w:rsidRDefault="00EF5648" w:rsidP="00407CDE">
            <w:pPr>
              <w:jc w:val="center"/>
              <w:rPr>
                <w:b/>
                <w:bCs/>
                <w:sz w:val="22"/>
                <w:szCs w:val="22"/>
              </w:rPr>
            </w:pPr>
            <w:r w:rsidRPr="00407CDE">
              <w:br w:type="page"/>
            </w:r>
            <w:r w:rsidR="00754720" w:rsidRPr="00407CDE">
              <w:rPr>
                <w:b/>
                <w:bCs/>
                <w:sz w:val="22"/>
                <w:szCs w:val="22"/>
              </w:rPr>
              <w:t>Бухгалтерская и налоговая отчетность Заявителя</w:t>
            </w:r>
          </w:p>
        </w:tc>
      </w:tr>
      <w:tr w:rsidR="00754720" w:rsidRPr="00407CDE" w14:paraId="04380015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15E4821A" w14:textId="71F99E35" w:rsidR="00754720" w:rsidRPr="00407CDE" w:rsidRDefault="002108A3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A5FD876" w14:textId="452C2925" w:rsidR="00754720" w:rsidRPr="00407CDE" w:rsidRDefault="00754720" w:rsidP="00407CDE">
            <w:pPr>
              <w:spacing w:before="60" w:after="60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 xml:space="preserve">Бухгалтерская отчетность за </w:t>
            </w:r>
            <w:r w:rsidR="009D484C" w:rsidRPr="00407CDE">
              <w:rPr>
                <w:sz w:val="22"/>
                <w:szCs w:val="22"/>
              </w:rPr>
              <w:t>предыдущий отчетный период</w:t>
            </w:r>
            <w:r w:rsidRPr="00407CDE">
              <w:rPr>
                <w:sz w:val="22"/>
                <w:szCs w:val="22"/>
              </w:rPr>
              <w:t xml:space="preserve"> год (при наличии)</w:t>
            </w:r>
            <w:r w:rsidR="004B2F15" w:rsidRPr="00407CDE">
              <w:rPr>
                <w:sz w:val="22"/>
                <w:szCs w:val="22"/>
              </w:rPr>
              <w:t>, за завершившиеся отчетные периоды текущего года</w:t>
            </w:r>
            <w:r w:rsidR="004B2F15" w:rsidRPr="00407CDE">
              <w:rPr>
                <w:rStyle w:val="af9"/>
                <w:sz w:val="22"/>
                <w:szCs w:val="22"/>
              </w:rPr>
              <w:footnoteReference w:id="1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002FD6" w14:textId="77777777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Копии</w:t>
            </w:r>
          </w:p>
        </w:tc>
      </w:tr>
      <w:tr w:rsidR="00E8001B" w:rsidRPr="00407CDE" w14:paraId="7A8E7039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24CFB378" w14:textId="53B29BBF" w:rsidR="00E8001B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24BAB7" w14:textId="4C7311BE" w:rsidR="00E8001B" w:rsidRPr="00407CDE" w:rsidRDefault="006D2222" w:rsidP="00407CDE">
            <w:pPr>
              <w:spacing w:before="60" w:after="60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 xml:space="preserve">Справка ИФНС </w:t>
            </w:r>
            <w:r>
              <w:rPr>
                <w:sz w:val="22"/>
                <w:szCs w:val="22"/>
              </w:rPr>
              <w:t>о наличии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      </w:r>
            <w:r w:rsidRPr="00B125EC">
              <w:rPr>
                <w:sz w:val="22"/>
                <w:szCs w:val="22"/>
              </w:rPr>
              <w:t xml:space="preserve"> (код по КНД </w:t>
            </w:r>
            <w:r w:rsidRPr="008732A7">
              <w:rPr>
                <w:sz w:val="22"/>
                <w:szCs w:val="22"/>
              </w:rPr>
              <w:t>1160082</w:t>
            </w:r>
            <w:r w:rsidRPr="00B125E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или справка ИФНС об исполнении налогоплательщиком обязанности по уплате налогов, сборов, страховых взносов, пеней, штрафов, процентов (код по КНД 1120101) (в случае отсутствия задолженности)</w:t>
            </w:r>
            <w:r w:rsidR="00E8001B" w:rsidRPr="00407CDE">
              <w:rPr>
                <w:vertAlign w:val="superscript"/>
              </w:rPr>
              <w:footnoteReference w:id="2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1BDA31" w14:textId="0E372EBB" w:rsidR="00E8001B" w:rsidRPr="00407CDE" w:rsidRDefault="00E8001B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Оригинал</w:t>
            </w:r>
          </w:p>
        </w:tc>
      </w:tr>
      <w:tr w:rsidR="00754720" w:rsidRPr="00407CDE" w14:paraId="1725A65E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58B494D6" w14:textId="37251B69" w:rsidR="00754720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2BEB1FB" w14:textId="69855814" w:rsidR="00754720" w:rsidRPr="00407CDE" w:rsidRDefault="009D484C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Расчет по страховым взносам</w:t>
            </w:r>
            <w:r w:rsidR="00754720" w:rsidRPr="00407CDE">
              <w:rPr>
                <w:sz w:val="22"/>
                <w:szCs w:val="22"/>
              </w:rPr>
              <w:t xml:space="preserve"> </w:t>
            </w:r>
            <w:r w:rsidRPr="00407CDE">
              <w:rPr>
                <w:sz w:val="22"/>
                <w:szCs w:val="22"/>
              </w:rPr>
              <w:t xml:space="preserve">за предыдущий отчетный период </w:t>
            </w:r>
            <w:r w:rsidR="00754720" w:rsidRPr="00407CDE">
              <w:rPr>
                <w:sz w:val="22"/>
                <w:szCs w:val="22"/>
              </w:rPr>
              <w:t>(с отметкой налогового органа о принятии)</w:t>
            </w:r>
            <w:r w:rsidR="00754720" w:rsidRPr="00407CDE">
              <w:rPr>
                <w:rStyle w:val="af9"/>
                <w:sz w:val="22"/>
                <w:szCs w:val="22"/>
              </w:rPr>
              <w:footnoteReference w:id="3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BEB4AB" w14:textId="77777777" w:rsidR="00754720" w:rsidRPr="00407CDE" w:rsidRDefault="00754720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754720" w:rsidRPr="00407CDE" w14:paraId="3FE18627" w14:textId="77777777" w:rsidTr="00E8001B">
        <w:trPr>
          <w:trHeight w:val="313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1A6C1800" w14:textId="77777777" w:rsidR="00754720" w:rsidRPr="00407CDE" w:rsidRDefault="00754720" w:rsidP="00407CDE">
            <w:pPr>
              <w:jc w:val="center"/>
              <w:rPr>
                <w:b/>
                <w:bCs/>
                <w:sz w:val="22"/>
                <w:szCs w:val="22"/>
              </w:rPr>
            </w:pPr>
            <w:r w:rsidRPr="00407CDE">
              <w:rPr>
                <w:b/>
                <w:bCs/>
                <w:sz w:val="22"/>
                <w:szCs w:val="22"/>
              </w:rPr>
              <w:t>Документы для проведения финансовой экспертизы Заявителя</w:t>
            </w:r>
          </w:p>
        </w:tc>
      </w:tr>
      <w:tr w:rsidR="00B3224E" w:rsidRPr="00407CDE" w14:paraId="4D86A2A9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49E44AF4" w14:textId="511A022F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18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61C42BD" w14:textId="3D461B47" w:rsidR="00B3224E" w:rsidRPr="00407CDE" w:rsidRDefault="00B3224E" w:rsidP="00407CDE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Бизнес-план, составленный в соответствии с рекомендациями Фонда, изложенными в Приложении № 4 к Стандарту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92D2C" w14:textId="77777777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Оригинал</w:t>
            </w:r>
          </w:p>
        </w:tc>
      </w:tr>
      <w:tr w:rsidR="00B3224E" w:rsidRPr="00407CDE" w14:paraId="5217DC2D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411B17A5" w14:textId="4546BBBF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766DE25" w14:textId="3F6D4416" w:rsidR="00B3224E" w:rsidRPr="00407CDE" w:rsidRDefault="00B3224E" w:rsidP="00407CDE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Финансовая модель, составленная с учетом рекомендаций Фонда (Приложение № 6 к Стандарту)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651D0A" w14:textId="4A6E4EC0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Оригинал</w:t>
            </w:r>
          </w:p>
        </w:tc>
      </w:tr>
      <w:tr w:rsidR="00B3224E" w:rsidRPr="00407CDE" w14:paraId="175DE1DC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093B91F3" w14:textId="459D71AB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D5ABCBE" w14:textId="7FF463CB" w:rsidR="00B3224E" w:rsidRPr="00407CDE" w:rsidRDefault="00B3224E" w:rsidP="00407CDE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 xml:space="preserve">Календарный план Проекта с указанием суммы инвестиций по каждому этапу (поквартально) </w:t>
            </w:r>
            <w:r w:rsidRPr="00407CDE">
              <w:rPr>
                <w:sz w:val="22"/>
                <w:szCs w:val="22"/>
                <w:vertAlign w:val="superscript"/>
              </w:rPr>
              <w:footnoteReference w:id="4"/>
            </w:r>
            <w:r w:rsidRPr="00407CDE">
              <w:rPr>
                <w:sz w:val="22"/>
                <w:szCs w:val="22"/>
              </w:rPr>
              <w:t xml:space="preserve"> (Приложение № 7 к Стандарту)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0797F8" w14:textId="35D4ADD2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Оригинал</w:t>
            </w:r>
          </w:p>
        </w:tc>
      </w:tr>
      <w:tr w:rsidR="00B3224E" w:rsidRPr="00407CDE" w14:paraId="5168904D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3BBFF0C6" w14:textId="441E7A72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D84B95D" w14:textId="77777777" w:rsidR="00B3224E" w:rsidRPr="00407CDE" w:rsidRDefault="00B3224E" w:rsidP="00407CDE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Действующие на текущую дату договоры займов/кредитов со всеми изменениями и приложениями (при наличии)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C81207" w14:textId="31DB75E6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B3224E" w:rsidRPr="00407CDE" w14:paraId="32FC253F" w14:textId="77777777" w:rsidTr="00E8001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14:paraId="3374BA42" w14:textId="604C52A3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90DDDC9" w14:textId="546F22CA" w:rsidR="00B3224E" w:rsidRPr="00407CDE" w:rsidRDefault="00B3224E" w:rsidP="00407CDE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Действующие на текущую дату договоры лизинга, аренды со всеми изменениями и приложениями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02301B" w14:textId="4B46C249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B3224E" w:rsidRPr="00407CDE" w14:paraId="085A24D8" w14:textId="77777777" w:rsidTr="00E8001B">
        <w:trPr>
          <w:trHeight w:val="31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A686" w14:textId="77777777" w:rsidR="00B3224E" w:rsidRPr="00407CDE" w:rsidRDefault="00B3224E" w:rsidP="00407CDE">
            <w:pPr>
              <w:jc w:val="center"/>
              <w:rPr>
                <w:b/>
                <w:bCs/>
                <w:sz w:val="22"/>
                <w:szCs w:val="22"/>
              </w:rPr>
            </w:pPr>
            <w:r w:rsidRPr="00407CDE">
              <w:rPr>
                <w:b/>
                <w:bCs/>
                <w:sz w:val="22"/>
                <w:szCs w:val="22"/>
              </w:rPr>
              <w:t>Прочие документы</w:t>
            </w:r>
          </w:p>
        </w:tc>
      </w:tr>
      <w:tr w:rsidR="00B3224E" w:rsidRPr="00407CDE" w14:paraId="668311B2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34DC" w14:textId="1C60F8FD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8CDA" w14:textId="16269504" w:rsidR="00B3224E" w:rsidRPr="00407CDE" w:rsidRDefault="00B3224E" w:rsidP="00407CDE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Согласие на обработку персональных данных по директору и учредителям (Приложение № 3 к Стандарту)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61AD" w14:textId="470D2B36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Оригинал</w:t>
            </w:r>
          </w:p>
        </w:tc>
      </w:tr>
      <w:tr w:rsidR="00B3224E" w:rsidRPr="00407CDE" w14:paraId="2D437364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D06D" w14:textId="4929ABA1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BB9D" w14:textId="77777777" w:rsidR="00B3224E" w:rsidRPr="00407CDE" w:rsidRDefault="00B3224E" w:rsidP="00407CDE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Дополнительные документы (предоставляются при наличии и по инициативе Заявителя)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63F4" w14:textId="77777777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Копии</w:t>
            </w:r>
          </w:p>
        </w:tc>
      </w:tr>
      <w:tr w:rsidR="00B3224E" w:rsidRPr="00407CDE" w14:paraId="44F06CF5" w14:textId="77777777" w:rsidTr="00E8001B">
        <w:trPr>
          <w:trHeight w:val="31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0A48" w14:textId="1ACE611B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rStyle w:val="2a"/>
                <w:rFonts w:eastAsiaTheme="minorHAnsi"/>
                <w:sz w:val="22"/>
                <w:szCs w:val="22"/>
              </w:rPr>
              <w:t>Документы в отношении объектов недвижимости, передаваемых в залог</w:t>
            </w:r>
          </w:p>
        </w:tc>
      </w:tr>
      <w:tr w:rsidR="00B3224E" w:rsidRPr="00407CDE" w14:paraId="3608D4F6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D622" w14:textId="2BE9D7DE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BC1C" w14:textId="21CB8265" w:rsidR="00B3224E" w:rsidRPr="00407CDE" w:rsidRDefault="00B3224E" w:rsidP="00407CDE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407CDE">
              <w:t>Кадастровый паспорт на ОКН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24E9" w14:textId="77777777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B3224E" w:rsidRPr="00407CDE" w14:paraId="029F65AB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C4CD" w14:textId="40D9401C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A15E" w14:textId="77777777" w:rsidR="00B3224E" w:rsidRPr="00407CDE" w:rsidRDefault="00B3224E" w:rsidP="00407CDE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407CDE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9C7D" w14:textId="74983A2A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Копии</w:t>
            </w:r>
          </w:p>
        </w:tc>
      </w:tr>
      <w:tr w:rsidR="00B3224E" w:rsidRPr="00407CDE" w14:paraId="3BB0F9C8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0725" w14:textId="5CF87702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EEDC" w14:textId="77777777" w:rsidR="00B3224E" w:rsidRPr="00407CDE" w:rsidRDefault="00B3224E" w:rsidP="00407CDE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407CDE">
              <w:t xml:space="preserve">Правоустанавливающие документы (договоры о приобретении </w:t>
            </w:r>
            <w:r w:rsidRPr="00407CDE">
              <w:lastRenderedPageBreak/>
              <w:t>имущества или иные документы)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454A" w14:textId="0EFC60AF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lastRenderedPageBreak/>
              <w:t>Копии</w:t>
            </w:r>
          </w:p>
        </w:tc>
      </w:tr>
      <w:tr w:rsidR="00B3224E" w:rsidRPr="00407CDE" w14:paraId="1C53D876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D1AA" w14:textId="42FA774C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14F" w14:textId="07929CA0" w:rsidR="00B3224E" w:rsidRPr="00407CDE" w:rsidRDefault="00B3224E" w:rsidP="00407CDE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407CDE">
              <w:t>Документы, подтверждающие наличие статуса объекта культурного наследия,</w:t>
            </w:r>
            <w:r w:rsidR="00031633" w:rsidRPr="00407CDE">
              <w:t xml:space="preserve"> охранное обязательство, </w:t>
            </w:r>
            <w:r w:rsidRPr="00407CDE">
              <w:t>паспорт ОКН</w:t>
            </w:r>
            <w:r w:rsidR="00031633" w:rsidRPr="00407CDE">
              <w:t xml:space="preserve"> и т.п</w:t>
            </w:r>
            <w:r w:rsidRPr="00407CDE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99A3" w14:textId="0315E3FB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B3224E" w:rsidRPr="00407CDE" w14:paraId="564BA9EC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3F40" w14:textId="1DBF63D8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40E9" w14:textId="79D7D5D1" w:rsidR="00B3224E" w:rsidRPr="00407CDE" w:rsidRDefault="00B3224E" w:rsidP="00407CDE">
            <w:r w:rsidRPr="00407CDE">
              <w:rPr>
                <w:sz w:val="22"/>
                <w:szCs w:val="22"/>
                <w:lang w:eastAsia="en-US"/>
              </w:rPr>
              <w:t>Выписка из ЕГРН в отношении ОКН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E922" w14:textId="6832B7A0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Оригинал</w:t>
            </w:r>
          </w:p>
        </w:tc>
      </w:tr>
      <w:tr w:rsidR="00B3224E" w:rsidRPr="00407CDE" w14:paraId="183C589D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468A" w14:textId="52662903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D0D0" w14:textId="7ED88652" w:rsidR="00B3224E" w:rsidRPr="00407CDE" w:rsidRDefault="00B3224E" w:rsidP="00407CDE">
            <w:pPr>
              <w:rPr>
                <w:sz w:val="24"/>
                <w:szCs w:val="24"/>
              </w:rPr>
            </w:pPr>
            <w:r w:rsidRPr="00407CDE">
              <w:rPr>
                <w:sz w:val="24"/>
                <w:szCs w:val="24"/>
              </w:rPr>
              <w:t>Документы на земельный участок, на котором расположен, передаваемый в залог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6346" w14:textId="339626C9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Копии</w:t>
            </w:r>
          </w:p>
        </w:tc>
      </w:tr>
      <w:tr w:rsidR="00B3224E" w:rsidRPr="00407CDE" w14:paraId="6B93FE54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5271" w14:textId="3440463C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66D4" w14:textId="0C91558C" w:rsidR="00B3224E" w:rsidRPr="00407CDE" w:rsidRDefault="00B3224E" w:rsidP="00407CDE">
            <w:pPr>
              <w:rPr>
                <w:sz w:val="24"/>
                <w:szCs w:val="24"/>
              </w:rPr>
            </w:pPr>
            <w:r w:rsidRPr="00407CDE">
              <w:rPr>
                <w:sz w:val="24"/>
                <w:szCs w:val="24"/>
              </w:rPr>
              <w:t>Выписка из ЕГРН в отношении земельного участка, на котором расположен ОКН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D28B" w14:textId="7CBB59E6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Оригинал</w:t>
            </w:r>
          </w:p>
        </w:tc>
      </w:tr>
      <w:tr w:rsidR="00B3224E" w:rsidRPr="00407CDE" w14:paraId="1E22DB3E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76F8" w14:textId="20D34616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DA96" w14:textId="74AB357B" w:rsidR="00B3224E" w:rsidRPr="00407CDE" w:rsidRDefault="00B3224E" w:rsidP="00407CDE">
            <w:pPr>
              <w:rPr>
                <w:sz w:val="24"/>
                <w:szCs w:val="24"/>
              </w:rPr>
            </w:pPr>
            <w:r w:rsidRPr="00407CDE">
              <w:rPr>
                <w:sz w:val="24"/>
                <w:szCs w:val="24"/>
              </w:rPr>
              <w:t>Отчёт об оценке залогового объекта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AC2B" w14:textId="3A74D885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Оригинал</w:t>
            </w:r>
          </w:p>
        </w:tc>
      </w:tr>
      <w:tr w:rsidR="00B3224E" w:rsidRPr="00407CDE" w14:paraId="7E8C740E" w14:textId="77777777" w:rsidTr="00E8001B">
        <w:trPr>
          <w:trHeight w:val="31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2CA5" w14:textId="57F4389F" w:rsidR="00B3224E" w:rsidRPr="00407CDE" w:rsidRDefault="00B3224E" w:rsidP="00407CDE">
            <w:pPr>
              <w:jc w:val="center"/>
              <w:rPr>
                <w:b/>
                <w:bCs/>
                <w:sz w:val="22"/>
                <w:szCs w:val="22"/>
              </w:rPr>
            </w:pPr>
            <w:r w:rsidRPr="00407CDE">
              <w:rPr>
                <w:b/>
                <w:bCs/>
                <w:sz w:val="22"/>
                <w:szCs w:val="22"/>
              </w:rPr>
              <w:t>Документы в отношении права аренды ОКН, передаваемого в залог</w:t>
            </w:r>
          </w:p>
        </w:tc>
      </w:tr>
      <w:tr w:rsidR="00B3224E" w:rsidRPr="00407CDE" w14:paraId="5B5560C0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3716" w14:textId="2F28B9E8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1FB6" w14:textId="5DC8783C" w:rsidR="00B3224E" w:rsidRPr="00407CDE" w:rsidRDefault="00B3224E" w:rsidP="00407CDE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407CDE">
              <w:t>Кадастровый паспорт на ОКН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3EFD" w14:textId="0E6B9F38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B3224E" w:rsidRPr="00407CDE" w14:paraId="4D68B236" w14:textId="77777777" w:rsidTr="00B3224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062D" w14:textId="4870C5DC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B759" w14:textId="1E1F4BF6" w:rsidR="00B3224E" w:rsidRPr="00407CDE" w:rsidRDefault="00B3224E" w:rsidP="00407CDE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407CDE">
              <w:t>Договор аренды ОКН со всеми дополнительными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CAB7" w14:textId="2FA34BD8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Копия</w:t>
            </w:r>
          </w:p>
        </w:tc>
      </w:tr>
      <w:tr w:rsidR="00B3224E" w:rsidRPr="00407CDE" w14:paraId="217BFF47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0D06" w14:textId="296354D3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83A8" w14:textId="63124DE4" w:rsidR="00B3224E" w:rsidRPr="00407CDE" w:rsidRDefault="00B3224E" w:rsidP="00407CDE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407CDE">
              <w:t>Выписка из ЕГРН в отношении ОКН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B41F" w14:textId="77777777" w:rsidR="00B3224E" w:rsidRPr="00407CDE" w:rsidRDefault="00B3224E" w:rsidP="00407CDE">
            <w:pPr>
              <w:rPr>
                <w:sz w:val="22"/>
                <w:szCs w:val="22"/>
              </w:rPr>
            </w:pPr>
          </w:p>
        </w:tc>
      </w:tr>
      <w:tr w:rsidR="00B3224E" w:rsidRPr="00407CDE" w14:paraId="55612FD2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E1B9" w14:textId="62B9FC91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51D7" w14:textId="7AD682F4" w:rsidR="00B3224E" w:rsidRPr="00407CDE" w:rsidRDefault="00B3224E" w:rsidP="00407CDE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407CDE">
              <w:rPr>
                <w:sz w:val="24"/>
                <w:szCs w:val="24"/>
              </w:rPr>
              <w:t>Выписка из ЕГРН в отношении земельного участка, на котором расположен ОКН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AAED" w14:textId="26A17C08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Оригинал</w:t>
            </w:r>
          </w:p>
        </w:tc>
      </w:tr>
      <w:tr w:rsidR="00B3224E" w:rsidRPr="00407CDE" w14:paraId="6509098C" w14:textId="77777777" w:rsidTr="00E8001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BE1" w14:textId="141B1F52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709C" w14:textId="4799FDFA" w:rsidR="00B3224E" w:rsidRPr="00407CDE" w:rsidRDefault="00B3224E" w:rsidP="00407CDE">
            <w:pPr>
              <w:pStyle w:val="2c"/>
              <w:shd w:val="clear" w:color="auto" w:fill="auto"/>
              <w:spacing w:before="60" w:after="60" w:line="240" w:lineRule="auto"/>
              <w:ind w:right="83" w:firstLine="0"/>
              <w:rPr>
                <w:sz w:val="24"/>
                <w:szCs w:val="24"/>
              </w:rPr>
            </w:pPr>
            <w:r w:rsidRPr="00407CDE">
              <w:t>Документы, подтверждающие отсутствие задолженности по арендным платежам (для недвижимости, находящейся во владении заявителя на основании договора аренды)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03D6" w14:textId="79B14A4A" w:rsidR="00B3224E" w:rsidRPr="00407CDE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Копии</w:t>
            </w:r>
          </w:p>
        </w:tc>
      </w:tr>
      <w:tr w:rsidR="00B3224E" w:rsidRPr="007B1768" w14:paraId="0F3B743D" w14:textId="77777777" w:rsidTr="00DA3713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81B4" w14:textId="6F8D3BB1" w:rsidR="00B3224E" w:rsidRPr="00407CDE" w:rsidRDefault="00B3224E" w:rsidP="00407CDE">
            <w:pPr>
              <w:jc w:val="center"/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DC10" w14:textId="6691AA5F" w:rsidR="00B3224E" w:rsidRPr="00407CDE" w:rsidRDefault="00B3224E" w:rsidP="00407CDE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407CDE">
              <w:rPr>
                <w:sz w:val="24"/>
                <w:szCs w:val="24"/>
              </w:rPr>
              <w:t>Отчёт об оценке</w:t>
            </w:r>
            <w:r w:rsidR="00031633" w:rsidRPr="00407CDE">
              <w:rPr>
                <w:sz w:val="24"/>
                <w:szCs w:val="24"/>
              </w:rPr>
              <w:t xml:space="preserve"> рыночной стоимости</w:t>
            </w:r>
            <w:r w:rsidRPr="00407CDE">
              <w:rPr>
                <w:sz w:val="24"/>
                <w:szCs w:val="24"/>
              </w:rPr>
              <w:t xml:space="preserve"> права аренды </w:t>
            </w:r>
            <w:r w:rsidR="00031633" w:rsidRPr="00407CDE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2D73" w14:textId="1C1FFB3A" w:rsidR="00B3224E" w:rsidRPr="003E4FD1" w:rsidRDefault="00B3224E" w:rsidP="00407CDE">
            <w:pPr>
              <w:rPr>
                <w:sz w:val="22"/>
                <w:szCs w:val="22"/>
              </w:rPr>
            </w:pPr>
            <w:r w:rsidRPr="00407CDE">
              <w:rPr>
                <w:sz w:val="22"/>
                <w:szCs w:val="22"/>
              </w:rPr>
              <w:t>Оригинал</w:t>
            </w:r>
          </w:p>
        </w:tc>
      </w:tr>
    </w:tbl>
    <w:p w14:paraId="54ABC4F2" w14:textId="77777777" w:rsidR="004B2F15" w:rsidRPr="003E4BB0" w:rsidRDefault="004B2F15" w:rsidP="00407CDE"/>
    <w:sectPr w:rsidR="004B2F15" w:rsidRPr="003E4BB0" w:rsidSect="00DD0286">
      <w:footerReference w:type="default" r:id="rId8"/>
      <w:pgSz w:w="11906" w:h="16838" w:code="9"/>
      <w:pgMar w:top="1134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6EB7" w14:textId="77777777" w:rsidR="00E72DDC" w:rsidRDefault="00E72DDC">
      <w:r>
        <w:separator/>
      </w:r>
    </w:p>
  </w:endnote>
  <w:endnote w:type="continuationSeparator" w:id="0">
    <w:p w14:paraId="16EEA208" w14:textId="77777777" w:rsidR="00E72DDC" w:rsidRDefault="00E7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357481"/>
      <w:docPartObj>
        <w:docPartGallery w:val="Page Numbers (Bottom of Page)"/>
        <w:docPartUnique/>
      </w:docPartObj>
    </w:sdtPr>
    <w:sdtEndPr/>
    <w:sdtContent>
      <w:p w14:paraId="785552CC" w14:textId="0C201EA1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CDE">
          <w:rPr>
            <w:noProof/>
          </w:rPr>
          <w:t>3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5D44" w14:textId="77777777" w:rsidR="00E72DDC" w:rsidRDefault="00E72DDC">
      <w:r>
        <w:separator/>
      </w:r>
    </w:p>
  </w:footnote>
  <w:footnote w:type="continuationSeparator" w:id="0">
    <w:p w14:paraId="293CCE9C" w14:textId="77777777" w:rsidR="00E72DDC" w:rsidRDefault="00E72DDC">
      <w:r>
        <w:continuationSeparator/>
      </w:r>
    </w:p>
  </w:footnote>
  <w:footnote w:id="1">
    <w:p w14:paraId="3901B31C" w14:textId="3F225480" w:rsidR="004B2F15" w:rsidRPr="00B6375A" w:rsidRDefault="004B2F15" w:rsidP="00DA3713">
      <w:pPr>
        <w:pStyle w:val="Default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rStyle w:val="af9"/>
          <w:color w:val="auto"/>
          <w:sz w:val="18"/>
          <w:szCs w:val="18"/>
        </w:rPr>
        <w:footnoteRef/>
      </w:r>
      <w:r w:rsidRPr="00B6375A">
        <w:rPr>
          <w:color w:val="auto"/>
          <w:sz w:val="18"/>
          <w:szCs w:val="18"/>
        </w:rPr>
        <w:t xml:space="preserve"> Состав форм годовой отчетности определяется в соответствии со статьей 14 Федерального закона N 402-ФЗ «О бухгалтерском учете». В составе бухгалт</w:t>
      </w:r>
      <w:r w:rsidR="00DD0286">
        <w:rPr>
          <w:color w:val="auto"/>
          <w:sz w:val="18"/>
          <w:szCs w:val="18"/>
        </w:rPr>
        <w:t>ерской отчетности за завершившийся отчетный период</w:t>
      </w:r>
      <w:r w:rsidRPr="00B6375A">
        <w:rPr>
          <w:color w:val="auto"/>
          <w:sz w:val="18"/>
          <w:szCs w:val="18"/>
        </w:rPr>
        <w:t xml:space="preserve"> (1 квартал, 6 месяцев, 9 месяцев) необходимо предоставить бухгалтерский баланс и отчет о финансовых результатах. Также необходимо предоставить аудиторское заключение о бухгалтерской отчетности за </w:t>
      </w:r>
      <w:r w:rsidR="00DD0286">
        <w:rPr>
          <w:color w:val="auto"/>
          <w:sz w:val="18"/>
          <w:szCs w:val="18"/>
        </w:rPr>
        <w:t xml:space="preserve">отчетный </w:t>
      </w:r>
      <w:r>
        <w:rPr>
          <w:color w:val="auto"/>
          <w:sz w:val="18"/>
          <w:szCs w:val="18"/>
        </w:rPr>
        <w:t>год</w:t>
      </w:r>
      <w:r w:rsidRPr="00B6375A">
        <w:rPr>
          <w:color w:val="auto"/>
          <w:sz w:val="18"/>
          <w:szCs w:val="18"/>
        </w:rPr>
        <w:t xml:space="preserve"> в случае</w:t>
      </w:r>
      <w:r>
        <w:rPr>
          <w:color w:val="auto"/>
          <w:sz w:val="18"/>
          <w:szCs w:val="18"/>
        </w:rPr>
        <w:t>,</w:t>
      </w:r>
      <w:r w:rsidRPr="00B6375A">
        <w:rPr>
          <w:color w:val="auto"/>
          <w:sz w:val="18"/>
          <w:szCs w:val="18"/>
        </w:rPr>
        <w:t xml:space="preserve"> если </w:t>
      </w:r>
      <w:r w:rsidR="006D2222" w:rsidRPr="00B6375A">
        <w:rPr>
          <w:color w:val="auto"/>
          <w:sz w:val="18"/>
          <w:szCs w:val="18"/>
        </w:rPr>
        <w:t>Заявитель, согласно действующему законодательству,</w:t>
      </w:r>
      <w:r w:rsidRPr="00B6375A">
        <w:rPr>
          <w:color w:val="auto"/>
          <w:sz w:val="18"/>
          <w:szCs w:val="18"/>
        </w:rPr>
        <w:t xml:space="preserve"> подлежит обязательному аудиту, а также при наличии такового. </w:t>
      </w:r>
    </w:p>
    <w:p w14:paraId="11411483" w14:textId="77777777" w:rsidR="004B2F15" w:rsidRPr="00B6375A" w:rsidRDefault="004B2F15" w:rsidP="00DA3713">
      <w:pPr>
        <w:pStyle w:val="Default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Отчётность Заявителя на последнюю отчетную дату должна содержать расшифровки: </w:t>
      </w:r>
    </w:p>
    <w:p w14:paraId="08BCA92E" w14:textId="77777777" w:rsidR="004B2F15" w:rsidRPr="00B6375A" w:rsidRDefault="004B2F15" w:rsidP="00DA3713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a) в случае, если доля кредиторской и/или дебиторской задолженности составляет более 10% валюты баланса – расшифровка такой задолженности с указанием наименований крупнейших (более 20% суммы задолженности) кредиторов/должников, суммы задолженности и даты образования; </w:t>
      </w:r>
    </w:p>
    <w:p w14:paraId="48B2F70B" w14:textId="77777777" w:rsidR="004B2F15" w:rsidRPr="00B6375A" w:rsidRDefault="004B2F15" w:rsidP="00DA3713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b) просроченной (свыше 3 месяцев) кредиторской и/или дебиторской задолженности с указанием кредиторов/должников, а также общей суммы просроченной дебиторской и / или кредиторской задолженности (или справка об отсутствии таковой задолженности); </w:t>
      </w:r>
    </w:p>
    <w:p w14:paraId="14BC36B8" w14:textId="77777777" w:rsidR="004B2F15" w:rsidRPr="00B6375A" w:rsidRDefault="004B2F15" w:rsidP="00DA3713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c) в случае, если суммарная доля краткосрочных и долгосрочных финансовых вложений составляет более 10% валюты баланса – расшифровка таких вложений с указанием инструментов/контрагентов и сумм вложений; </w:t>
      </w:r>
    </w:p>
    <w:p w14:paraId="138BDC88" w14:textId="77777777" w:rsidR="004B2F15" w:rsidRPr="00B6375A" w:rsidRDefault="004B2F15" w:rsidP="00DA3713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d) выручки в разрезе крупнейших (не менее 10% выручки) покупателей и видов продукции (с указанием выручки и долей по данным покупателям/видам продукции); </w:t>
      </w:r>
    </w:p>
    <w:p w14:paraId="7797FCE8" w14:textId="77777777" w:rsidR="004B2F15" w:rsidRPr="00B6375A" w:rsidRDefault="004B2F15" w:rsidP="00DA3713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e) займов и кредитов (включая облигационные и вексельные) с указанием кредиторов, суммы задолженности, сроков кредитования, графика погашения и уплаты процентов, валюты заимствования, процентной ставки, суммы просроченной задолженности; </w:t>
      </w:r>
    </w:p>
    <w:p w14:paraId="1CCE56A1" w14:textId="77777777" w:rsidR="004B2F15" w:rsidRPr="00B6375A" w:rsidRDefault="004B2F15" w:rsidP="00DA3713">
      <w:pPr>
        <w:pStyle w:val="Default"/>
        <w:widowControl/>
        <w:numPr>
          <w:ilvl w:val="0"/>
          <w:numId w:val="22"/>
        </w:numPr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f) забалансовых обязательств, включая информацию по залогам имущества и выданным поручительствам с указанием должников, сроков и объемов обязательств Заявителя (или справка об отсутствии таковых обязательств). </w:t>
      </w:r>
    </w:p>
    <w:p w14:paraId="32DE2C31" w14:textId="77777777" w:rsidR="004B2F15" w:rsidRPr="00B6375A" w:rsidRDefault="004B2F15" w:rsidP="00DA3713">
      <w:pPr>
        <w:pStyle w:val="af7"/>
        <w:ind w:left="-426" w:right="-1"/>
        <w:jc w:val="both"/>
        <w:rPr>
          <w:sz w:val="18"/>
          <w:szCs w:val="18"/>
        </w:rPr>
      </w:pPr>
      <w:r w:rsidRPr="00B6375A">
        <w:rPr>
          <w:sz w:val="18"/>
          <w:szCs w:val="18"/>
        </w:rPr>
        <w:t>Годовая бухгалтерская отчетность предоставляется с отметкой налогового органа о ее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</w:t>
      </w:r>
      <w:r>
        <w:rPr>
          <w:sz w:val="18"/>
          <w:szCs w:val="18"/>
        </w:rPr>
        <w:t xml:space="preserve"> в</w:t>
      </w:r>
      <w:r w:rsidRPr="00B6375A">
        <w:rPr>
          <w:sz w:val="18"/>
          <w:szCs w:val="18"/>
        </w:rPr>
        <w:t xml:space="preserve"> указанных случаях не требуется.  </w:t>
      </w:r>
    </w:p>
  </w:footnote>
  <w:footnote w:id="2">
    <w:p w14:paraId="773E86EA" w14:textId="19C24238" w:rsidR="00E8001B" w:rsidRPr="00B6375A" w:rsidRDefault="00E8001B" w:rsidP="00DA3713">
      <w:pPr>
        <w:pStyle w:val="af6"/>
        <w:spacing w:before="0" w:beforeAutospacing="0" w:after="0" w:afterAutospacing="0"/>
        <w:ind w:left="-426"/>
        <w:contextualSpacing/>
        <w:jc w:val="both"/>
        <w:rPr>
          <w:sz w:val="18"/>
          <w:szCs w:val="18"/>
        </w:rPr>
      </w:pPr>
      <w:r w:rsidRPr="00B6375A">
        <w:rPr>
          <w:rStyle w:val="af9"/>
          <w:sz w:val="18"/>
          <w:szCs w:val="18"/>
        </w:rPr>
        <w:footnoteRef/>
      </w:r>
      <w:r w:rsidRPr="00B6375A">
        <w:rPr>
          <w:sz w:val="18"/>
          <w:szCs w:val="18"/>
        </w:rPr>
        <w:t xml:space="preserve"> Справка должна быть датирована в пределах 30 календарных дней̆ до даты предоставления в Фонд </w:t>
      </w:r>
      <w:r w:rsidR="006D2222">
        <w:rPr>
          <w:sz w:val="18"/>
          <w:szCs w:val="18"/>
        </w:rPr>
        <w:t>в составе пакета документов.</w:t>
      </w:r>
    </w:p>
  </w:footnote>
  <w:footnote w:id="3">
    <w:p w14:paraId="53E52260" w14:textId="77777777" w:rsidR="00754720" w:rsidRDefault="00754720" w:rsidP="00DA3713">
      <w:pPr>
        <w:pStyle w:val="af7"/>
        <w:ind w:left="-426"/>
        <w:jc w:val="both"/>
      </w:pPr>
      <w:r>
        <w:rPr>
          <w:rStyle w:val="af9"/>
        </w:rPr>
        <w:footnoteRef/>
      </w:r>
      <w:r>
        <w:t xml:space="preserve"> </w:t>
      </w:r>
      <w:r w:rsidRPr="00B6375A">
        <w:rPr>
          <w:sz w:val="18"/>
          <w:szCs w:val="18"/>
        </w:rPr>
        <w:t>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</w:t>
      </w:r>
      <w:r>
        <w:rPr>
          <w:sz w:val="18"/>
          <w:szCs w:val="18"/>
        </w:rPr>
        <w:t xml:space="preserve"> в</w:t>
      </w:r>
      <w:r w:rsidRPr="00B6375A">
        <w:rPr>
          <w:sz w:val="18"/>
          <w:szCs w:val="18"/>
        </w:rPr>
        <w:t xml:space="preserve"> указанных случаях не требуется.</w:t>
      </w:r>
    </w:p>
  </w:footnote>
  <w:footnote w:id="4">
    <w:p w14:paraId="58464E73" w14:textId="1413290A" w:rsidR="00B3224E" w:rsidRDefault="00B3224E" w:rsidP="00DA3713">
      <w:pPr>
        <w:pStyle w:val="af7"/>
        <w:ind w:left="-426"/>
      </w:pPr>
      <w:r w:rsidRPr="00871A4D">
        <w:rPr>
          <w:rStyle w:val="af9"/>
        </w:rPr>
        <w:footnoteRef/>
      </w:r>
      <w:r w:rsidRPr="00871A4D">
        <w:t xml:space="preserve"> </w:t>
      </w:r>
      <w:r w:rsidRPr="00871A4D">
        <w:rPr>
          <w:szCs w:val="26"/>
        </w:rPr>
        <w:t>Целевое расходование займа должно совпадать с п. 5.1. Стандарта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654406"/>
    <w:multiLevelType w:val="hybridMultilevel"/>
    <w:tmpl w:val="076AF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 w15:restartNumberingAfterBreak="0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6" w15:restartNumberingAfterBreak="0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925096">
    <w:abstractNumId w:val="13"/>
  </w:num>
  <w:num w:numId="2" w16cid:durableId="105867480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 w16cid:durableId="378748716">
    <w:abstractNumId w:val="17"/>
  </w:num>
  <w:num w:numId="4" w16cid:durableId="105005412">
    <w:abstractNumId w:val="1"/>
  </w:num>
  <w:num w:numId="5" w16cid:durableId="865606073">
    <w:abstractNumId w:val="9"/>
  </w:num>
  <w:num w:numId="6" w16cid:durableId="970018669">
    <w:abstractNumId w:val="18"/>
  </w:num>
  <w:num w:numId="7" w16cid:durableId="178835544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3501497">
    <w:abstractNumId w:val="16"/>
  </w:num>
  <w:num w:numId="9" w16cid:durableId="1389573706">
    <w:abstractNumId w:val="12"/>
  </w:num>
  <w:num w:numId="10" w16cid:durableId="953287339">
    <w:abstractNumId w:val="4"/>
  </w:num>
  <w:num w:numId="11" w16cid:durableId="883447226">
    <w:abstractNumId w:val="7"/>
  </w:num>
  <w:num w:numId="12" w16cid:durableId="121121571">
    <w:abstractNumId w:val="5"/>
  </w:num>
  <w:num w:numId="13" w16cid:durableId="1382558845">
    <w:abstractNumId w:val="24"/>
  </w:num>
  <w:num w:numId="14" w16cid:durableId="1758865203">
    <w:abstractNumId w:val="10"/>
  </w:num>
  <w:num w:numId="15" w16cid:durableId="1941797960">
    <w:abstractNumId w:val="22"/>
  </w:num>
  <w:num w:numId="16" w16cid:durableId="415054435">
    <w:abstractNumId w:val="25"/>
  </w:num>
  <w:num w:numId="17" w16cid:durableId="1116170444">
    <w:abstractNumId w:val="26"/>
  </w:num>
  <w:num w:numId="18" w16cid:durableId="585383700">
    <w:abstractNumId w:val="20"/>
  </w:num>
  <w:num w:numId="19" w16cid:durableId="810699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9108888">
    <w:abstractNumId w:val="3"/>
  </w:num>
  <w:num w:numId="21" w16cid:durableId="2006857081">
    <w:abstractNumId w:val="23"/>
  </w:num>
  <w:num w:numId="22" w16cid:durableId="850870510">
    <w:abstractNumId w:val="19"/>
  </w:num>
  <w:num w:numId="23" w16cid:durableId="554002357">
    <w:abstractNumId w:val="2"/>
  </w:num>
  <w:num w:numId="24" w16cid:durableId="1133449307">
    <w:abstractNumId w:val="15"/>
  </w:num>
  <w:num w:numId="25" w16cid:durableId="1204094531">
    <w:abstractNumId w:val="21"/>
  </w:num>
  <w:num w:numId="26" w16cid:durableId="946157438">
    <w:abstractNumId w:val="14"/>
  </w:num>
  <w:num w:numId="27" w16cid:durableId="767193762">
    <w:abstractNumId w:val="11"/>
  </w:num>
  <w:num w:numId="28" w16cid:durableId="243030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DD"/>
    <w:rsid w:val="000005A4"/>
    <w:rsid w:val="00000E46"/>
    <w:rsid w:val="000057BB"/>
    <w:rsid w:val="000108A8"/>
    <w:rsid w:val="00011426"/>
    <w:rsid w:val="00012ED7"/>
    <w:rsid w:val="000175BD"/>
    <w:rsid w:val="00021A68"/>
    <w:rsid w:val="00022EA9"/>
    <w:rsid w:val="000267D3"/>
    <w:rsid w:val="00031141"/>
    <w:rsid w:val="00031633"/>
    <w:rsid w:val="00031683"/>
    <w:rsid w:val="00034B95"/>
    <w:rsid w:val="00043B9A"/>
    <w:rsid w:val="00045D2D"/>
    <w:rsid w:val="00045EB7"/>
    <w:rsid w:val="00050643"/>
    <w:rsid w:val="00056197"/>
    <w:rsid w:val="0005762F"/>
    <w:rsid w:val="00060866"/>
    <w:rsid w:val="00061C40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B32E7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5070"/>
    <w:rsid w:val="001126DD"/>
    <w:rsid w:val="001164DD"/>
    <w:rsid w:val="0012485D"/>
    <w:rsid w:val="00125D12"/>
    <w:rsid w:val="00126C02"/>
    <w:rsid w:val="00127A4A"/>
    <w:rsid w:val="001344D0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07F34"/>
    <w:rsid w:val="002108A3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53745"/>
    <w:rsid w:val="00256EE5"/>
    <w:rsid w:val="00261D49"/>
    <w:rsid w:val="0026336F"/>
    <w:rsid w:val="00265D16"/>
    <w:rsid w:val="002725EC"/>
    <w:rsid w:val="00273149"/>
    <w:rsid w:val="002753B7"/>
    <w:rsid w:val="00275C4D"/>
    <w:rsid w:val="00287F0E"/>
    <w:rsid w:val="00290760"/>
    <w:rsid w:val="00290CB7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26C3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76AD0"/>
    <w:rsid w:val="0038055E"/>
    <w:rsid w:val="00383E3C"/>
    <w:rsid w:val="00384C15"/>
    <w:rsid w:val="003905B8"/>
    <w:rsid w:val="0039457F"/>
    <w:rsid w:val="00396392"/>
    <w:rsid w:val="003B0705"/>
    <w:rsid w:val="003B258F"/>
    <w:rsid w:val="003B29CC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E4FD1"/>
    <w:rsid w:val="003F2560"/>
    <w:rsid w:val="003F4152"/>
    <w:rsid w:val="00407CDE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A2110"/>
    <w:rsid w:val="004A23C8"/>
    <w:rsid w:val="004A5069"/>
    <w:rsid w:val="004B0D5A"/>
    <w:rsid w:val="004B228D"/>
    <w:rsid w:val="004B2F15"/>
    <w:rsid w:val="004B6FAF"/>
    <w:rsid w:val="004C5FB0"/>
    <w:rsid w:val="004C7769"/>
    <w:rsid w:val="004D7E6E"/>
    <w:rsid w:val="004E26A0"/>
    <w:rsid w:val="004E4F89"/>
    <w:rsid w:val="004E6816"/>
    <w:rsid w:val="004F106E"/>
    <w:rsid w:val="004F6B67"/>
    <w:rsid w:val="00501244"/>
    <w:rsid w:val="005170AA"/>
    <w:rsid w:val="005171A3"/>
    <w:rsid w:val="00517C7F"/>
    <w:rsid w:val="005322AC"/>
    <w:rsid w:val="0053319A"/>
    <w:rsid w:val="00540DCB"/>
    <w:rsid w:val="00541355"/>
    <w:rsid w:val="00550AB4"/>
    <w:rsid w:val="00552018"/>
    <w:rsid w:val="00561CF1"/>
    <w:rsid w:val="00572C6F"/>
    <w:rsid w:val="00574DF6"/>
    <w:rsid w:val="0057507C"/>
    <w:rsid w:val="00576BB0"/>
    <w:rsid w:val="00576C17"/>
    <w:rsid w:val="00580073"/>
    <w:rsid w:val="00582F50"/>
    <w:rsid w:val="005A2FAE"/>
    <w:rsid w:val="005A611E"/>
    <w:rsid w:val="005A7003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346A"/>
    <w:rsid w:val="005E671F"/>
    <w:rsid w:val="005F0EF7"/>
    <w:rsid w:val="005F4143"/>
    <w:rsid w:val="005F5EDC"/>
    <w:rsid w:val="005F7070"/>
    <w:rsid w:val="00604A05"/>
    <w:rsid w:val="00610466"/>
    <w:rsid w:val="006315B1"/>
    <w:rsid w:val="00631E8A"/>
    <w:rsid w:val="006327D9"/>
    <w:rsid w:val="00633707"/>
    <w:rsid w:val="00633E3E"/>
    <w:rsid w:val="00640290"/>
    <w:rsid w:val="006410A6"/>
    <w:rsid w:val="00641DD1"/>
    <w:rsid w:val="00650BEA"/>
    <w:rsid w:val="00651A3A"/>
    <w:rsid w:val="0065338F"/>
    <w:rsid w:val="0065518D"/>
    <w:rsid w:val="006663FA"/>
    <w:rsid w:val="00671AFC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2222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07ED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54720"/>
    <w:rsid w:val="007602CA"/>
    <w:rsid w:val="0076060C"/>
    <w:rsid w:val="007608B4"/>
    <w:rsid w:val="0077101F"/>
    <w:rsid w:val="00773C44"/>
    <w:rsid w:val="0077468C"/>
    <w:rsid w:val="007765CC"/>
    <w:rsid w:val="00782BEA"/>
    <w:rsid w:val="00790B1B"/>
    <w:rsid w:val="00793F03"/>
    <w:rsid w:val="007A1E9C"/>
    <w:rsid w:val="007A7D76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599D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1A4D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2A49"/>
    <w:rsid w:val="00977826"/>
    <w:rsid w:val="00987443"/>
    <w:rsid w:val="00990314"/>
    <w:rsid w:val="0099398D"/>
    <w:rsid w:val="0099633A"/>
    <w:rsid w:val="009963A4"/>
    <w:rsid w:val="009A0222"/>
    <w:rsid w:val="009A2357"/>
    <w:rsid w:val="009A32D1"/>
    <w:rsid w:val="009A4E69"/>
    <w:rsid w:val="009B4019"/>
    <w:rsid w:val="009B4060"/>
    <w:rsid w:val="009C7651"/>
    <w:rsid w:val="009D484C"/>
    <w:rsid w:val="009E0A9C"/>
    <w:rsid w:val="009E3233"/>
    <w:rsid w:val="009E4EDD"/>
    <w:rsid w:val="009F438B"/>
    <w:rsid w:val="009F52A7"/>
    <w:rsid w:val="00A00CA8"/>
    <w:rsid w:val="00A11FF2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D23F8"/>
    <w:rsid w:val="00AD343A"/>
    <w:rsid w:val="00AD5638"/>
    <w:rsid w:val="00AD652E"/>
    <w:rsid w:val="00AD7E91"/>
    <w:rsid w:val="00AE0B59"/>
    <w:rsid w:val="00AF274F"/>
    <w:rsid w:val="00AF4BC9"/>
    <w:rsid w:val="00AF4F9B"/>
    <w:rsid w:val="00AF7C5C"/>
    <w:rsid w:val="00B068F3"/>
    <w:rsid w:val="00B07C73"/>
    <w:rsid w:val="00B206C2"/>
    <w:rsid w:val="00B21C82"/>
    <w:rsid w:val="00B23D48"/>
    <w:rsid w:val="00B26B40"/>
    <w:rsid w:val="00B3224E"/>
    <w:rsid w:val="00B3283F"/>
    <w:rsid w:val="00B3646A"/>
    <w:rsid w:val="00B55871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576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9E2"/>
    <w:rsid w:val="00C016A1"/>
    <w:rsid w:val="00C02410"/>
    <w:rsid w:val="00C07D1B"/>
    <w:rsid w:val="00C10E5B"/>
    <w:rsid w:val="00C1262C"/>
    <w:rsid w:val="00C150DF"/>
    <w:rsid w:val="00C158CC"/>
    <w:rsid w:val="00C172AF"/>
    <w:rsid w:val="00C20CD2"/>
    <w:rsid w:val="00C21B58"/>
    <w:rsid w:val="00C24AB8"/>
    <w:rsid w:val="00C37759"/>
    <w:rsid w:val="00C42D7D"/>
    <w:rsid w:val="00C430C0"/>
    <w:rsid w:val="00C437A5"/>
    <w:rsid w:val="00C5051D"/>
    <w:rsid w:val="00C54199"/>
    <w:rsid w:val="00C5543A"/>
    <w:rsid w:val="00C56C09"/>
    <w:rsid w:val="00C6568B"/>
    <w:rsid w:val="00C659F5"/>
    <w:rsid w:val="00C65C29"/>
    <w:rsid w:val="00C762A7"/>
    <w:rsid w:val="00C827E7"/>
    <w:rsid w:val="00C82C0E"/>
    <w:rsid w:val="00C84CB7"/>
    <w:rsid w:val="00C85760"/>
    <w:rsid w:val="00C85A81"/>
    <w:rsid w:val="00C868CD"/>
    <w:rsid w:val="00C87DC9"/>
    <w:rsid w:val="00CA1FF0"/>
    <w:rsid w:val="00CA3F2C"/>
    <w:rsid w:val="00CA5E88"/>
    <w:rsid w:val="00CA71D3"/>
    <w:rsid w:val="00CA7E75"/>
    <w:rsid w:val="00CB00BE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72E6B"/>
    <w:rsid w:val="00D80D7B"/>
    <w:rsid w:val="00D90FCB"/>
    <w:rsid w:val="00D94555"/>
    <w:rsid w:val="00DA3713"/>
    <w:rsid w:val="00DA5261"/>
    <w:rsid w:val="00DB0256"/>
    <w:rsid w:val="00DB1125"/>
    <w:rsid w:val="00DB3500"/>
    <w:rsid w:val="00DB47A5"/>
    <w:rsid w:val="00DB7183"/>
    <w:rsid w:val="00DC16B4"/>
    <w:rsid w:val="00DC2912"/>
    <w:rsid w:val="00DC2BAD"/>
    <w:rsid w:val="00DC5578"/>
    <w:rsid w:val="00DD0286"/>
    <w:rsid w:val="00DD36E2"/>
    <w:rsid w:val="00DD3C9C"/>
    <w:rsid w:val="00DD3F51"/>
    <w:rsid w:val="00DE26C0"/>
    <w:rsid w:val="00DF38CA"/>
    <w:rsid w:val="00DF7E3E"/>
    <w:rsid w:val="00E03266"/>
    <w:rsid w:val="00E03A7C"/>
    <w:rsid w:val="00E10516"/>
    <w:rsid w:val="00E108A9"/>
    <w:rsid w:val="00E12241"/>
    <w:rsid w:val="00E13185"/>
    <w:rsid w:val="00E151C1"/>
    <w:rsid w:val="00E1568E"/>
    <w:rsid w:val="00E30124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2DDC"/>
    <w:rsid w:val="00E76B75"/>
    <w:rsid w:val="00E8001B"/>
    <w:rsid w:val="00E80369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EF5648"/>
    <w:rsid w:val="00F024F7"/>
    <w:rsid w:val="00F04DB3"/>
    <w:rsid w:val="00F05E2B"/>
    <w:rsid w:val="00F074E5"/>
    <w:rsid w:val="00F07A89"/>
    <w:rsid w:val="00F11A01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32D1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  <w15:docId w15:val="{C568D147-10F7-40CC-AEDE-68AA5967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69EB-C5A2-4373-817F-9953FD9D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Евгения Бавыкина</cp:lastModifiedBy>
  <cp:revision>2</cp:revision>
  <cp:lastPrinted>2020-01-18T09:28:00Z</cp:lastPrinted>
  <dcterms:created xsi:type="dcterms:W3CDTF">2023-08-18T14:42:00Z</dcterms:created>
  <dcterms:modified xsi:type="dcterms:W3CDTF">2023-08-18T14:42:00Z</dcterms:modified>
</cp:coreProperties>
</file>